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09F9" w14:textId="77777777" w:rsidR="006D4377" w:rsidRDefault="00000000">
      <w:pPr>
        <w:spacing w:after="0"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Um quarto dos apostadores paulistanos usa plataformas para aumentar renda doméstica, aponta pesquisa</w:t>
      </w:r>
    </w:p>
    <w:p w14:paraId="3C5E469C" w14:textId="77777777" w:rsidR="006D4377" w:rsidRDefault="006D4377">
      <w:pPr>
        <w:spacing w:after="0" w:line="276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7C7AE82" w14:textId="77777777" w:rsidR="006D4377" w:rsidRDefault="00000000">
      <w:pPr>
        <w:spacing w:after="0" w:line="276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Dados da FecomercioSP indicam, ainda, que quase metade (44%) das pessoas em São Paulo soma mais perdas do que ganhos nas ‘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bets</w:t>
      </w:r>
      <w:proofErr w:type="spellEnd"/>
      <w:r>
        <w:rPr>
          <w:rFonts w:ascii="Arial" w:eastAsia="Arial" w:hAnsi="Arial" w:cs="Arial"/>
          <w:i/>
          <w:sz w:val="24"/>
          <w:szCs w:val="24"/>
        </w:rPr>
        <w:t>’</w:t>
      </w:r>
    </w:p>
    <w:p w14:paraId="127E70EB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7BEA9FC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Por que os paulistanos apostam?</w:t>
      </w:r>
      <w:r>
        <w:rPr>
          <w:rFonts w:ascii="Arial" w:eastAsia="Arial" w:hAnsi="Arial" w:cs="Arial"/>
          <w:sz w:val="24"/>
          <w:szCs w:val="24"/>
        </w:rPr>
        <w:t xml:space="preserve"> De acordo com uma pesquisa da </w:t>
      </w:r>
      <w:r>
        <w:rPr>
          <w:rFonts w:ascii="Arial" w:eastAsia="Arial" w:hAnsi="Arial" w:cs="Arial"/>
          <w:b/>
          <w:sz w:val="24"/>
          <w:szCs w:val="24"/>
        </w:rPr>
        <w:t>Federação do Comércio de Bens, Serviços e Turismo do Estado de São Paulo (FecomercioSP)</w:t>
      </w:r>
      <w:r>
        <w:rPr>
          <w:rFonts w:ascii="Arial" w:eastAsia="Arial" w:hAnsi="Arial" w:cs="Arial"/>
          <w:sz w:val="24"/>
          <w:szCs w:val="24"/>
        </w:rPr>
        <w:t xml:space="preserve">, se para a maioria dos usuários das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bets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na cidade – que representa 17% da população – esse tipo de jogo representa mera diversão (42%), </w:t>
      </w:r>
      <w:r>
        <w:rPr>
          <w:rFonts w:ascii="Arial" w:eastAsia="Arial" w:hAnsi="Arial" w:cs="Arial"/>
          <w:b/>
          <w:sz w:val="24"/>
          <w:szCs w:val="24"/>
        </w:rPr>
        <w:t xml:space="preserve">um quarto deles (25%) acredita que essa é uma forma de aumentar os rendimentos domésticos — e rapidamente </w:t>
      </w:r>
      <w:r>
        <w:rPr>
          <w:rFonts w:ascii="Arial" w:eastAsia="Arial" w:hAnsi="Arial" w:cs="Arial"/>
          <w:i/>
          <w:sz w:val="24"/>
          <w:szCs w:val="24"/>
        </w:rPr>
        <w:t xml:space="preserve">[gráfico 1]. </w:t>
      </w:r>
      <w:r>
        <w:rPr>
          <w:rFonts w:ascii="Arial" w:eastAsia="Arial" w:hAnsi="Arial" w:cs="Arial"/>
          <w:sz w:val="24"/>
          <w:szCs w:val="24"/>
        </w:rPr>
        <w:t xml:space="preserve">Outros 9% ainda afirmam que </w:t>
      </w:r>
      <w:r>
        <w:rPr>
          <w:rFonts w:ascii="Arial" w:eastAsia="Arial" w:hAnsi="Arial" w:cs="Arial"/>
          <w:b/>
          <w:sz w:val="24"/>
          <w:szCs w:val="24"/>
        </w:rPr>
        <w:t>apostam para investir.</w:t>
      </w:r>
    </w:p>
    <w:p w14:paraId="088BEE62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7B44E42A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Tão relevante quanto é o fato de 20% dos apostadores admitirem que o</w:t>
      </w:r>
      <w:r>
        <w:rPr>
          <w:rFonts w:ascii="Arial" w:eastAsia="Arial" w:hAnsi="Arial" w:cs="Arial"/>
          <w:b/>
          <w:sz w:val="24"/>
          <w:szCs w:val="24"/>
        </w:rPr>
        <w:t xml:space="preserve"> dinheiro utilizado para financiar essas apostas na Internet seria destinado a pagar contas caso não apostassem </w:t>
      </w:r>
      <w:r>
        <w:rPr>
          <w:rFonts w:ascii="Arial" w:eastAsia="Arial" w:hAnsi="Arial" w:cs="Arial"/>
          <w:sz w:val="24"/>
          <w:szCs w:val="24"/>
        </w:rPr>
        <w:t xml:space="preserve">[gráfico 2]. Já para 12%, os </w:t>
      </w:r>
      <w:r>
        <w:rPr>
          <w:rFonts w:ascii="Arial" w:eastAsia="Arial" w:hAnsi="Arial" w:cs="Arial"/>
          <w:b/>
          <w:sz w:val="24"/>
          <w:szCs w:val="24"/>
        </w:rPr>
        <w:t>recursos serviriam para comprar alimentos.</w:t>
      </w:r>
    </w:p>
    <w:p w14:paraId="1CF212CD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DC7F98C" w14:textId="77777777" w:rsidR="006D4377" w:rsidRDefault="00000000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 w:val="20"/>
          <w:szCs w:val="20"/>
        </w:rPr>
      </w:pPr>
      <w:r>
        <w:rPr>
          <w:rFonts w:ascii="Arial" w:eastAsia="Arial" w:hAnsi="Arial" w:cs="Arial"/>
          <w:b/>
          <w:color w:val="C00000"/>
          <w:sz w:val="20"/>
          <w:szCs w:val="20"/>
        </w:rPr>
        <w:t>[GRÁFICO 1]</w:t>
      </w:r>
    </w:p>
    <w:p w14:paraId="4BBD36BE" w14:textId="77777777" w:rsidR="006D4377" w:rsidRDefault="00000000">
      <w:pPr>
        <w:spacing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(%) O que te leva a apostar online? (Entre usuários de sites de apostas)</w:t>
      </w:r>
    </w:p>
    <w:p w14:paraId="34E9EA6B" w14:textId="77777777" w:rsidR="006D4377" w:rsidRDefault="00000000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3CBCAB3F" wp14:editId="2D0255DF">
            <wp:extent cx="5400040" cy="3150235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0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D2EB15" w14:textId="77777777" w:rsidR="006D4377" w:rsidRDefault="00000000">
      <w:pPr>
        <w:spacing w:after="0" w:line="276" w:lineRule="auto"/>
        <w:rPr>
          <w:rFonts w:ascii="Arial" w:eastAsia="Arial" w:hAnsi="Arial" w:cs="Arial"/>
          <w:b/>
          <w:color w:val="C00000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Fonte: FecomercioSP</w:t>
      </w:r>
    </w:p>
    <w:p w14:paraId="129140CD" w14:textId="77777777" w:rsidR="006D4377" w:rsidRDefault="006D4377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 w:val="20"/>
          <w:szCs w:val="20"/>
        </w:rPr>
      </w:pPr>
    </w:p>
    <w:p w14:paraId="696FA67A" w14:textId="77777777" w:rsidR="006D4377" w:rsidRDefault="006D4377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 w:val="20"/>
          <w:szCs w:val="20"/>
        </w:rPr>
      </w:pPr>
    </w:p>
    <w:p w14:paraId="7B528463" w14:textId="77777777" w:rsidR="006D4377" w:rsidRDefault="006D4377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 w:val="20"/>
          <w:szCs w:val="20"/>
        </w:rPr>
      </w:pPr>
    </w:p>
    <w:p w14:paraId="27ADC3A6" w14:textId="77777777" w:rsidR="006D4377" w:rsidRDefault="006D4377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 w:val="20"/>
          <w:szCs w:val="20"/>
        </w:rPr>
      </w:pPr>
    </w:p>
    <w:p w14:paraId="5037908B" w14:textId="77777777" w:rsidR="006D4377" w:rsidRDefault="006D4377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 w:val="20"/>
          <w:szCs w:val="20"/>
        </w:rPr>
      </w:pPr>
    </w:p>
    <w:p w14:paraId="7EB10B25" w14:textId="77777777" w:rsidR="006D4377" w:rsidRDefault="006D4377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 w:val="20"/>
          <w:szCs w:val="20"/>
        </w:rPr>
      </w:pPr>
    </w:p>
    <w:p w14:paraId="690584CC" w14:textId="77777777" w:rsidR="006D4377" w:rsidRDefault="006D4377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 w:val="20"/>
          <w:szCs w:val="20"/>
        </w:rPr>
      </w:pPr>
    </w:p>
    <w:p w14:paraId="13C477C7" w14:textId="77777777" w:rsidR="006D4377" w:rsidRDefault="00000000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 w:val="20"/>
          <w:szCs w:val="20"/>
        </w:rPr>
      </w:pPr>
      <w:r>
        <w:rPr>
          <w:rFonts w:ascii="Arial" w:eastAsia="Arial" w:hAnsi="Arial" w:cs="Arial"/>
          <w:b/>
          <w:color w:val="C00000"/>
          <w:sz w:val="20"/>
          <w:szCs w:val="20"/>
        </w:rPr>
        <w:lastRenderedPageBreak/>
        <w:t>[GRÁFICO 2]</w:t>
      </w:r>
    </w:p>
    <w:p w14:paraId="7333D5D2" w14:textId="77777777" w:rsidR="006D4377" w:rsidRDefault="00000000">
      <w:pPr>
        <w:spacing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(%) Se você não gastasse esse dinheiro com apostas, como você o utilizaria? (Entre usuários de sites de apostas)</w:t>
      </w:r>
    </w:p>
    <w:p w14:paraId="269ED2E6" w14:textId="77777777" w:rsidR="006D4377" w:rsidRDefault="00000000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4DA51883" wp14:editId="51AA44E3">
            <wp:extent cx="5400040" cy="3150235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0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0D93E7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41EFD04C" w14:textId="77777777" w:rsidR="006D4377" w:rsidRDefault="00000000">
      <w:pPr>
        <w:spacing w:after="0" w:line="276" w:lineRule="auto"/>
        <w:rPr>
          <w:rFonts w:ascii="Arial" w:eastAsia="Arial" w:hAnsi="Arial" w:cs="Arial"/>
          <w:b/>
          <w:color w:val="C00000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Fonte: FecomercioSP</w:t>
      </w:r>
    </w:p>
    <w:p w14:paraId="2816C31C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C47D84D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 acordo com a FecomercioSP, o desejo de retorno financeiro por meio de apostas é um sinal grave de como as pessoas, em geral, têm manejado os orçamentos familiares. Muitas delas, </w:t>
      </w:r>
      <w:r>
        <w:rPr>
          <w:rFonts w:ascii="Arial" w:eastAsia="Arial" w:hAnsi="Arial" w:cs="Arial"/>
          <w:b/>
          <w:sz w:val="24"/>
          <w:szCs w:val="24"/>
        </w:rPr>
        <w:t>especialmente de baixa renda</w:t>
      </w:r>
      <w:r>
        <w:rPr>
          <w:rFonts w:ascii="Arial" w:eastAsia="Arial" w:hAnsi="Arial" w:cs="Arial"/>
          <w:sz w:val="24"/>
          <w:szCs w:val="24"/>
        </w:rPr>
        <w:t xml:space="preserve">, buscam </w:t>
      </w:r>
      <w:r>
        <w:rPr>
          <w:rFonts w:ascii="Arial" w:eastAsia="Arial" w:hAnsi="Arial" w:cs="Arial"/>
          <w:b/>
          <w:sz w:val="24"/>
          <w:szCs w:val="24"/>
        </w:rPr>
        <w:t>rentabilidade imediata em plataformas online em vez de investir em modalidades tradicionais</w:t>
      </w:r>
      <w:r>
        <w:rPr>
          <w:rFonts w:ascii="Arial" w:eastAsia="Arial" w:hAnsi="Arial" w:cs="Arial"/>
          <w:sz w:val="24"/>
          <w:szCs w:val="24"/>
        </w:rPr>
        <w:t xml:space="preserve">, mais seguras e com benefícios a longo prazo. Isso as coloca em </w:t>
      </w:r>
      <w:r>
        <w:rPr>
          <w:rFonts w:ascii="Arial" w:eastAsia="Arial" w:hAnsi="Arial" w:cs="Arial"/>
          <w:b/>
          <w:sz w:val="24"/>
          <w:szCs w:val="24"/>
        </w:rPr>
        <w:t>uma situação financeira vulnerável, podendo agravar ainda mais suas condições econômicas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3B41AE42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61C6DADD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pesquisa mostra também </w:t>
      </w:r>
      <w:r>
        <w:rPr>
          <w:rFonts w:ascii="Arial" w:eastAsia="Arial" w:hAnsi="Arial" w:cs="Arial"/>
          <w:b/>
          <w:sz w:val="24"/>
          <w:szCs w:val="24"/>
        </w:rPr>
        <w:t>como o consumo do varejo e de itens essenciais fica sob risco</w:t>
      </w:r>
      <w:r>
        <w:rPr>
          <w:rFonts w:ascii="Arial" w:eastAsia="Arial" w:hAnsi="Arial" w:cs="Arial"/>
          <w:sz w:val="24"/>
          <w:szCs w:val="24"/>
        </w:rPr>
        <w:t>, já que boa parte dos montantes apostados seria importante para a composição das despesas rotineiras dos lares, como as de supermercado.</w:t>
      </w:r>
    </w:p>
    <w:p w14:paraId="24C735AA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9628B62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É por isso que, na visão da Entidade, o crescimento exponencial das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bets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 mercado nacional depende de uma regulamentação desenvolvida e equilibrada, que promova a inovação e a abertura de novos mercados, bem como garanta segurança jurídica tanto para plataformas quanto para apostadores. Isso passa, sobretudo, por políticas para proteger e educar os consumidores.</w:t>
      </w:r>
    </w:p>
    <w:p w14:paraId="2489F32A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5B424D73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Não é à toa que, por exemplo, </w:t>
      </w:r>
      <w:r>
        <w:rPr>
          <w:rFonts w:ascii="Arial" w:eastAsia="Arial" w:hAnsi="Arial" w:cs="Arial"/>
          <w:b/>
          <w:sz w:val="24"/>
          <w:szCs w:val="24"/>
        </w:rPr>
        <w:t xml:space="preserve">praticamente metade (44%) dos usuários de plataformas de apostas tenha afirmado que, ao fim, soma mais perdas do que ganhos em apostas online </w:t>
      </w:r>
      <w:r>
        <w:rPr>
          <w:rFonts w:ascii="Arial" w:eastAsia="Arial" w:hAnsi="Arial" w:cs="Arial"/>
          <w:i/>
          <w:sz w:val="24"/>
          <w:szCs w:val="24"/>
        </w:rPr>
        <w:t xml:space="preserve">[gráfico 3]. </w:t>
      </w:r>
      <w:r>
        <w:rPr>
          <w:rFonts w:ascii="Arial" w:eastAsia="Arial" w:hAnsi="Arial" w:cs="Arial"/>
          <w:sz w:val="24"/>
          <w:szCs w:val="24"/>
        </w:rPr>
        <w:t>É um reforço evidente dos riscos inerentes a esse mercado.</w:t>
      </w:r>
    </w:p>
    <w:p w14:paraId="19A221A7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7BF1B438" w14:textId="77777777" w:rsidR="006D4377" w:rsidRDefault="00000000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 w:val="20"/>
          <w:szCs w:val="20"/>
        </w:rPr>
      </w:pPr>
      <w:r>
        <w:rPr>
          <w:rFonts w:ascii="Arial" w:eastAsia="Arial" w:hAnsi="Arial" w:cs="Arial"/>
          <w:b/>
          <w:color w:val="C00000"/>
          <w:sz w:val="20"/>
          <w:szCs w:val="20"/>
        </w:rPr>
        <w:lastRenderedPageBreak/>
        <w:t>[GRÁFICO 3]</w:t>
      </w:r>
    </w:p>
    <w:p w14:paraId="029BBD29" w14:textId="77777777" w:rsidR="006D4377" w:rsidRDefault="00000000">
      <w:pPr>
        <w:spacing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(%) Quais são seus resultados com as apostas online? (Entre usuários de sites de apostas)</w:t>
      </w:r>
    </w:p>
    <w:p w14:paraId="2BB48844" w14:textId="77777777" w:rsidR="006D4377" w:rsidRDefault="006D4377">
      <w:pPr>
        <w:spacing w:after="0" w:line="276" w:lineRule="auto"/>
        <w:jc w:val="center"/>
        <w:rPr>
          <w:rFonts w:ascii="Arial" w:eastAsia="Arial" w:hAnsi="Arial" w:cs="Arial"/>
          <w:i/>
          <w:sz w:val="20"/>
          <w:szCs w:val="20"/>
        </w:rPr>
      </w:pPr>
    </w:p>
    <w:p w14:paraId="47DC5F4A" w14:textId="77777777" w:rsidR="006D4377" w:rsidRDefault="00000000">
      <w:pPr>
        <w:spacing w:after="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C219681" wp14:editId="7F9784C3">
            <wp:extent cx="5400040" cy="315023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0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406868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7DF24567" w14:textId="77777777" w:rsidR="006D4377" w:rsidRDefault="00000000">
      <w:pPr>
        <w:spacing w:after="0" w:line="276" w:lineRule="auto"/>
        <w:rPr>
          <w:rFonts w:ascii="Arial" w:eastAsia="Arial" w:hAnsi="Arial" w:cs="Arial"/>
          <w:b/>
          <w:color w:val="C00000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Fonte: FecomercioSP</w:t>
      </w:r>
    </w:p>
    <w:p w14:paraId="525D88B6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6952978A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estudo da FecomercioSP ouviu 3.622 pessoas na cidade de São Paulo, de diferentes classes sociais e faixas etárias, entre os dias 12 e 19 de julho. A ideia era tanto entender os impactos econômicos desses jogos para os paulistanos — e os efeitos secundários no varejo — como observar o processo de transição dos consumidores entre os mercados ilegal e o regulamentado.</w:t>
      </w:r>
    </w:p>
    <w:p w14:paraId="208C78C7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4802367F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Nesta semana, vale dizer, o Ministério da Fazenda recebeu 113 pedidos de autorização de empresas de aposta online para explorar o mercado de cota fixa. Se aprovadas, poderão operar, a partir de janeiro do ano que vem, dentro da regulamentação já estabelecida pelo governo. Os dados da Federação mostram que, embora a regulamentação </w:t>
      </w:r>
      <w:r>
        <w:rPr>
          <w:rFonts w:ascii="Arial" w:eastAsia="Arial" w:hAnsi="Arial" w:cs="Arial"/>
          <w:b/>
          <w:sz w:val="24"/>
          <w:szCs w:val="24"/>
        </w:rPr>
        <w:t>possa criar um ambiente mais controlado para apostas, não elimina o risco de jogo excessivo para àqueles que têm o hábito de jogar</w:t>
      </w:r>
      <w:r>
        <w:rPr>
          <w:rFonts w:ascii="Arial" w:eastAsia="Arial" w:hAnsi="Arial" w:cs="Arial"/>
          <w:sz w:val="24"/>
          <w:szCs w:val="24"/>
        </w:rPr>
        <w:t xml:space="preserve">. Na verdade, </w:t>
      </w:r>
      <w:r>
        <w:rPr>
          <w:rFonts w:ascii="Arial" w:eastAsia="Arial" w:hAnsi="Arial" w:cs="Arial"/>
          <w:b/>
          <w:sz w:val="24"/>
          <w:szCs w:val="24"/>
        </w:rPr>
        <w:t>a facilidade de acesso às plataformas online pode até agravar esse problema</w:t>
      </w:r>
      <w:r>
        <w:rPr>
          <w:rFonts w:ascii="Arial" w:eastAsia="Arial" w:hAnsi="Arial" w:cs="Arial"/>
          <w:sz w:val="24"/>
          <w:szCs w:val="24"/>
        </w:rPr>
        <w:t>.</w:t>
      </w:r>
    </w:p>
    <w:p w14:paraId="17F17590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537DD78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i/>
          <w:sz w:val="24"/>
          <w:szCs w:val="24"/>
        </w:rPr>
        <w:t>BETS</w:t>
      </w:r>
      <w:r>
        <w:rPr>
          <w:rFonts w:ascii="Arial" w:eastAsia="Arial" w:hAnsi="Arial" w:cs="Arial"/>
          <w:b/>
          <w:sz w:val="24"/>
          <w:szCs w:val="24"/>
        </w:rPr>
        <w:t xml:space="preserve"> EM ALTA</w:t>
      </w:r>
    </w:p>
    <w:p w14:paraId="6B381B5C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Outros números chamam a atenção para a expansão vertiginosa das plataformas de apostas online nos últimos anos. De forma geral, 17% dos paulistanos são, atualmente, consumidores ativos desses jogos (quase dois em cada 10) — número que permanece dentro da média internacional. Nos Estados Unidos, por exemplo, esse número varia entre 10% e 15%, segundo pesquisas. </w:t>
      </w:r>
    </w:p>
    <w:p w14:paraId="627E7F4C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9E66F96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Entre os apostadores paulistanos, um quarto (23%) faz algum tipo de jogo semanalmente, enquanto 12% o </w:t>
      </w:r>
      <w:proofErr w:type="gramStart"/>
      <w:r>
        <w:rPr>
          <w:rFonts w:ascii="Arial" w:eastAsia="Arial" w:hAnsi="Arial" w:cs="Arial"/>
          <w:sz w:val="24"/>
          <w:szCs w:val="24"/>
        </w:rPr>
        <w:t>fazem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todos os dias. Nesse recorte, as classes médias tendem a ser consumidoras mais frequentes: dentre aqueles que ganham acima de dois salários mínimos, 30% apostam toda semana, número que cai para 18% entre quem ganha menos do que esse montante por mês. O tíquete médio, porém, é baixo, reforçando o argumento de que o brasileiro adepto dessa prática costuma ser um “pequeno apostador” — </w:t>
      </w:r>
      <w:r>
        <w:rPr>
          <w:rFonts w:ascii="Arial" w:eastAsia="Arial" w:hAnsi="Arial" w:cs="Arial"/>
          <w:b/>
          <w:sz w:val="24"/>
          <w:szCs w:val="24"/>
        </w:rPr>
        <w:t xml:space="preserve">metade dos entrevistados (52%) diz não gastar mais do que R$ 50 por mês nas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bets</w:t>
      </w:r>
      <w:proofErr w:type="spellEnd"/>
      <w:r>
        <w:rPr>
          <w:rFonts w:ascii="Arial" w:eastAsia="Arial" w:hAnsi="Arial" w:cs="Arial"/>
          <w:b/>
          <w:sz w:val="24"/>
          <w:szCs w:val="24"/>
        </w:rPr>
        <w:t>;</w:t>
      </w:r>
      <w:r>
        <w:rPr>
          <w:rFonts w:ascii="Arial" w:eastAsia="Arial" w:hAnsi="Arial" w:cs="Arial"/>
          <w:sz w:val="24"/>
          <w:szCs w:val="24"/>
        </w:rPr>
        <w:t xml:space="preserve"> outros 19% gastam até R$ 100 [gráfico 4].</w:t>
      </w:r>
    </w:p>
    <w:p w14:paraId="08539354" w14:textId="77777777" w:rsidR="006D4377" w:rsidRDefault="006D4377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 w:val="20"/>
          <w:szCs w:val="20"/>
        </w:rPr>
      </w:pPr>
    </w:p>
    <w:p w14:paraId="0947BC16" w14:textId="77777777" w:rsidR="006D4377" w:rsidRDefault="00000000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 w:val="20"/>
          <w:szCs w:val="20"/>
        </w:rPr>
      </w:pPr>
      <w:r>
        <w:rPr>
          <w:rFonts w:ascii="Arial" w:eastAsia="Arial" w:hAnsi="Arial" w:cs="Arial"/>
          <w:b/>
          <w:color w:val="C00000"/>
          <w:sz w:val="20"/>
          <w:szCs w:val="20"/>
        </w:rPr>
        <w:t>[GRÁFICO 4]</w:t>
      </w:r>
    </w:p>
    <w:p w14:paraId="20073ECF" w14:textId="77777777" w:rsidR="006D4377" w:rsidRDefault="00000000">
      <w:pPr>
        <w:spacing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(%) Qual é o valor médio que você gasta com apostas online? (Entre usuários de sites de apostas)</w:t>
      </w:r>
    </w:p>
    <w:p w14:paraId="5101421F" w14:textId="77777777" w:rsidR="006D4377" w:rsidRDefault="006D4377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8527E92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0" distB="0" distL="0" distR="0" wp14:anchorId="72CD2BFE" wp14:editId="441D928E">
            <wp:extent cx="5400040" cy="315023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0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CE82AD" w14:textId="77777777" w:rsidR="006D4377" w:rsidRDefault="00000000">
      <w:pPr>
        <w:spacing w:after="0" w:line="276" w:lineRule="auto"/>
        <w:rPr>
          <w:rFonts w:ascii="Arial" w:eastAsia="Arial" w:hAnsi="Arial" w:cs="Arial"/>
          <w:b/>
          <w:color w:val="C00000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Fonte: FecomercioSP</w:t>
      </w:r>
    </w:p>
    <w:p w14:paraId="4078064E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5796C7E9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Outro dado relevante da pesquisa é o fato de 11% dos paulistanos apostadores já terem buscado ajuda financeira com familiares ou amigos para pagar seus jogos. Muitos estudos já mostraram como, antes das instituições bancárias, as classes baixas e médias costumam recorrer a pessoas próximas para pedir fôlego financeiro. </w:t>
      </w:r>
    </w:p>
    <w:p w14:paraId="4E800CDC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17A3E3F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análise da FecomercioSP, que mantém um estudo mensal sobre endividamento e inadimplência (PEIC) em São Paulo, não há, necessariamente, uma relação entre dívidas que paulistanos contraem e apostas regulamentadas. Para a Federação, na verdade, </w:t>
      </w:r>
      <w:r>
        <w:rPr>
          <w:rFonts w:ascii="Arial" w:eastAsia="Arial" w:hAnsi="Arial" w:cs="Arial"/>
          <w:b/>
          <w:sz w:val="24"/>
          <w:szCs w:val="24"/>
        </w:rPr>
        <w:t>tem ocorrido uma transição entre diferentes formas de jogos de azar: muitos que participavam de jogos ilegais ou de apostas informais estão migrando para plataformas regulamentadas</w:t>
      </w:r>
      <w:r>
        <w:rPr>
          <w:rFonts w:ascii="Arial" w:eastAsia="Arial" w:hAnsi="Arial" w:cs="Arial"/>
          <w:sz w:val="24"/>
          <w:szCs w:val="24"/>
        </w:rPr>
        <w:t xml:space="preserve">, levando consigo hábitos já perigosos. </w:t>
      </w:r>
    </w:p>
    <w:p w14:paraId="69B2C70F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A8B71EE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Por outro lado, a imensa maioria (85%) dos apostadores nunca precisou recorrer a medidas financeiras adicionais para arcar com esses custos, reforçando-se pelo tíquete médio, que é baixo — um dado positivo sobre o impacto das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bets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sobre o orçamento familiar comum do País. </w:t>
      </w:r>
    </w:p>
    <w:p w14:paraId="229E6505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31963514" w14:textId="77777777" w:rsidR="006D4377" w:rsidRDefault="00000000">
      <w:pPr>
        <w:spacing w:after="0" w:line="276" w:lineRule="auto"/>
        <w:jc w:val="center"/>
        <w:rPr>
          <w:rFonts w:ascii="Arial" w:eastAsia="Arial" w:hAnsi="Arial" w:cs="Arial"/>
          <w:b/>
          <w:color w:val="C00000"/>
          <w:sz w:val="20"/>
          <w:szCs w:val="20"/>
        </w:rPr>
      </w:pPr>
      <w:r>
        <w:rPr>
          <w:rFonts w:ascii="Arial" w:eastAsia="Arial" w:hAnsi="Arial" w:cs="Arial"/>
          <w:b/>
          <w:color w:val="C00000"/>
          <w:sz w:val="20"/>
          <w:szCs w:val="20"/>
        </w:rPr>
        <w:t>[GRÁFICO 5]</w:t>
      </w:r>
    </w:p>
    <w:p w14:paraId="6A7F05F2" w14:textId="77777777" w:rsidR="006D4377" w:rsidRDefault="00000000">
      <w:pPr>
        <w:spacing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Com que frequência você faz apostas online? (%)</w:t>
      </w:r>
    </w:p>
    <w:p w14:paraId="26141245" w14:textId="6940A9FA" w:rsidR="006D4377" w:rsidRDefault="00FA271A">
      <w:pP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5DA85" wp14:editId="2F51A856">
                <wp:simplePos x="0" y="0"/>
                <wp:positionH relativeFrom="column">
                  <wp:posOffset>3834765</wp:posOffset>
                </wp:positionH>
                <wp:positionV relativeFrom="paragraph">
                  <wp:posOffset>2831465</wp:posOffset>
                </wp:positionV>
                <wp:extent cx="1013460" cy="320040"/>
                <wp:effectExtent l="0" t="0" r="0" b="3810"/>
                <wp:wrapNone/>
                <wp:docPr id="438306958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163AD" w14:textId="136C8605" w:rsidR="00FA271A" w:rsidRPr="00FA271A" w:rsidRDefault="00FA271A" w:rsidP="00FA271A">
                            <w:pPr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FA271A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zCs w:val="18"/>
                              </w:rPr>
                              <w:t>Diariamente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5DA85" id="Retângulo 1" o:spid="_x0000_s1026" style="position:absolute;left:0;text-align:left;margin-left:301.95pt;margin-top:222.95pt;width:79.8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" fillcolor="white [3212]" stroked="f">
                <v:textbox>
                  <w:txbxContent>
                    <w:p w14:paraId="622163AD" w14:textId="136C8605" w:rsidR="00FA271A" w:rsidRPr="00FA271A" w:rsidRDefault="00FA271A" w:rsidP="00FA271A">
                      <w:pPr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FA271A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zCs w:val="18"/>
                        </w:rPr>
                        <w:t>Diariamente</w:t>
                      </w: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3D8C1EFD" wp14:editId="438D9BBD">
            <wp:extent cx="5400040" cy="3150235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0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0DB67B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81E8F96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percepção da Federação, tão relevante quanto esse quadro geral do consumo das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bets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no País é a forma como os brasileiros em geral se relacionam com a legislação vigente, que, para a Entidade, deve ser aperfeiçoada de forma a proporcionar segurança jurídica e transparência nas operações</w:t>
      </w:r>
    </w:p>
    <w:p w14:paraId="17772D8F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521B860A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É grave, por exemplo, que 41% dos usuários de plataformas de apostas não conheçam os parâmetros básicos da Lei 14.790/2023, em vigor desde o ano passado, que, dentre outras medidas, estabelece critérios de divulgação das taxas de retorno e tributação dos ganhos com apostas. Segundo a Entidade, quanto mais as pessoas souberem o escopo das regras, mais conformidade poderá ser cobrada das empresas que operam o serviço, assim como os próprios consumidores teriam mais confiança em usá-lo. </w:t>
      </w:r>
    </w:p>
    <w:p w14:paraId="04F2053A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53BF4282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FecomercioSP seguirá observando atentamente o funcionamento desse mercado, pressionando as autoridades para produzir políticas públicas voltadas à regulamentação e fiscalização das apostas online, além de ajudar na elaboração de programas que orientem e protejam os consumidores envolvidos no mundo das apostas esportivas online.</w:t>
      </w:r>
    </w:p>
    <w:p w14:paraId="6B675728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768782E1" w14:textId="77777777" w:rsidR="006D4377" w:rsidRDefault="0000000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C00000"/>
          <w:sz w:val="24"/>
          <w:szCs w:val="24"/>
        </w:rPr>
        <w:lastRenderedPageBreak/>
        <w:t>Sobre a FecomercioSP</w:t>
      </w:r>
      <w:r>
        <w:rPr>
          <w:rFonts w:ascii="Arial" w:eastAsia="Arial" w:hAnsi="Arial" w:cs="Arial"/>
          <w:color w:val="C00000"/>
          <w:sz w:val="24"/>
          <w:szCs w:val="24"/>
        </w:rPr>
        <w:t> </w:t>
      </w:r>
    </w:p>
    <w:p w14:paraId="47B4DA90" w14:textId="77777777" w:rsidR="006D4377" w:rsidRDefault="0000000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Reúne líderes empresariais, especialistas e consultores para fomentar o desenvolvimento do empreendedorismo. Em conjunto com o governo, mobiliza-se pela desburocratização e pela modernização, desenvolve soluções, elabora pesquisas e disponibiliza conteúdo prático sobre as questões que impactam a vida do empreendedor. Representa 1,8 milhão de empresários, que respondem por quase 10% do Produto Interno Bruto (PIB) brasileiro e geram em torno de 10 milhões de empregos. </w:t>
      </w:r>
    </w:p>
    <w:p w14:paraId="0031A4A7" w14:textId="77777777" w:rsidR="006D4377" w:rsidRDefault="0000000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0B864215" w14:textId="77777777" w:rsidR="006D4377" w:rsidRDefault="0000000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C00000"/>
          <w:sz w:val="24"/>
          <w:szCs w:val="24"/>
        </w:rPr>
        <w:t>Mais informações:</w:t>
      </w:r>
      <w:r>
        <w:rPr>
          <w:rFonts w:ascii="Arial" w:eastAsia="Arial" w:hAnsi="Arial" w:cs="Arial"/>
          <w:color w:val="C00000"/>
          <w:sz w:val="24"/>
          <w:szCs w:val="24"/>
        </w:rPr>
        <w:t> </w:t>
      </w:r>
    </w:p>
    <w:p w14:paraId="38A1E7F0" w14:textId="77777777" w:rsidR="006D4377" w:rsidRDefault="0000000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Assessoria de imprensa FecomercioSP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364BAEE8" w14:textId="77777777" w:rsidR="006D4377" w:rsidRDefault="0000000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Arial" w:eastAsia="Arial" w:hAnsi="Arial" w:cs="Arial"/>
          <w:color w:val="002060"/>
          <w:sz w:val="24"/>
          <w:szCs w:val="24"/>
          <w:u w:val="single"/>
        </w:rPr>
        <w:t>imprensa@fecomercio.net.br</w:t>
      </w:r>
      <w:r>
        <w:rPr>
          <w:rFonts w:ascii="Arial" w:eastAsia="Arial" w:hAnsi="Arial" w:cs="Arial"/>
          <w:color w:val="002060"/>
          <w:sz w:val="24"/>
          <w:szCs w:val="24"/>
        </w:rPr>
        <w:t>  </w:t>
      </w:r>
    </w:p>
    <w:p w14:paraId="1081C4D7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Vinícius Mendes – (11) 96860-1503</w:t>
      </w:r>
    </w:p>
    <w:p w14:paraId="5D691551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Arlete Moraes – (11) 94291-8055</w:t>
      </w:r>
    </w:p>
    <w:p w14:paraId="23639A85" w14:textId="77777777" w:rsidR="006D4377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Ana Maria Ribeiro – (13) 99147-3138</w:t>
      </w:r>
    </w:p>
    <w:p w14:paraId="3F2BAED7" w14:textId="77777777" w:rsidR="006D4377" w:rsidRDefault="006D4377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DF55BC" w14:textId="77777777" w:rsidR="006D4377" w:rsidRDefault="0000000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Siga a FecomercioSP: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57E8C8CA" w14:textId="77777777" w:rsidR="006D4377" w:rsidRDefault="0000000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hyperlink r:id="rId9">
        <w:r>
          <w:rPr>
            <w:rFonts w:ascii="Arial" w:eastAsia="Arial" w:hAnsi="Arial" w:cs="Arial"/>
            <w:color w:val="002060"/>
            <w:sz w:val="24"/>
            <w:szCs w:val="24"/>
            <w:u w:val="single"/>
          </w:rPr>
          <w:t>Facebook</w:t>
        </w:r>
      </w:hyperlink>
      <w:r>
        <w:rPr>
          <w:rFonts w:ascii="Arial" w:eastAsia="Arial" w:hAnsi="Arial" w:cs="Arial"/>
          <w:color w:val="002060"/>
          <w:sz w:val="24"/>
          <w:szCs w:val="24"/>
        </w:rPr>
        <w:t>  </w:t>
      </w:r>
    </w:p>
    <w:p w14:paraId="186BCFC4" w14:textId="77777777" w:rsidR="006D4377" w:rsidRDefault="0000000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hyperlink r:id="rId10">
        <w:r>
          <w:rPr>
            <w:rFonts w:ascii="Arial" w:eastAsia="Arial" w:hAnsi="Arial" w:cs="Arial"/>
            <w:color w:val="002060"/>
            <w:sz w:val="24"/>
            <w:szCs w:val="24"/>
            <w:u w:val="single"/>
          </w:rPr>
          <w:t>Instagram</w:t>
        </w:r>
      </w:hyperlink>
      <w:r>
        <w:rPr>
          <w:rFonts w:ascii="Arial" w:eastAsia="Arial" w:hAnsi="Arial" w:cs="Arial"/>
          <w:color w:val="002060"/>
          <w:sz w:val="24"/>
          <w:szCs w:val="24"/>
        </w:rPr>
        <w:t>  </w:t>
      </w:r>
    </w:p>
    <w:p w14:paraId="7B0E58A2" w14:textId="77777777" w:rsidR="006D4377" w:rsidRDefault="0000000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hyperlink r:id="rId11">
        <w:r>
          <w:rPr>
            <w:rFonts w:ascii="Arial" w:eastAsia="Arial" w:hAnsi="Arial" w:cs="Arial"/>
            <w:color w:val="002060"/>
            <w:sz w:val="24"/>
            <w:szCs w:val="24"/>
            <w:u w:val="single"/>
          </w:rPr>
          <w:t>LinkedIn</w:t>
        </w:r>
      </w:hyperlink>
      <w:r>
        <w:rPr>
          <w:rFonts w:ascii="Arial" w:eastAsia="Arial" w:hAnsi="Arial" w:cs="Arial"/>
          <w:color w:val="002060"/>
          <w:sz w:val="24"/>
          <w:szCs w:val="24"/>
        </w:rPr>
        <w:t>  </w:t>
      </w:r>
    </w:p>
    <w:p w14:paraId="706B3529" w14:textId="77777777" w:rsidR="006D4377" w:rsidRDefault="0000000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hyperlink r:id="rId12">
        <w:r>
          <w:rPr>
            <w:rFonts w:ascii="Arial" w:eastAsia="Arial" w:hAnsi="Arial" w:cs="Arial"/>
            <w:color w:val="002060"/>
            <w:sz w:val="24"/>
            <w:szCs w:val="24"/>
            <w:u w:val="single"/>
          </w:rPr>
          <w:t>Twitter </w:t>
        </w:r>
      </w:hyperlink>
      <w:r>
        <w:rPr>
          <w:rFonts w:ascii="Arial" w:eastAsia="Arial" w:hAnsi="Arial" w:cs="Arial"/>
          <w:color w:val="002060"/>
          <w:sz w:val="24"/>
          <w:szCs w:val="24"/>
        </w:rPr>
        <w:t> </w:t>
      </w:r>
    </w:p>
    <w:p w14:paraId="5BE35EE7" w14:textId="77777777" w:rsidR="006D4377" w:rsidRDefault="006D4377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6D4377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D1C68ED-5B75-428A-9B19-9EA27A135861}"/>
    <w:embedItalic r:id="rId2" w:fontKey="{85D9B3C1-C11D-4E10-B669-D0E176592461}"/>
  </w:font>
  <w:font w:name="Play">
    <w:charset w:val="00"/>
    <w:family w:val="auto"/>
    <w:pitch w:val="default"/>
    <w:embedRegular r:id="rId3" w:fontKey="{F98B5FBF-17C8-4E54-9678-58C50D7EC6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655D28C-D7D4-4191-8F68-74C51BA974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B56539-1C61-48FB-BDC3-39B744397F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377"/>
    <w:rsid w:val="003C0C9F"/>
    <w:rsid w:val="006D4377"/>
    <w:rsid w:val="00FA2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0F66F"/>
  <w15:docId w15:val="{EF02441F-8A86-4AC8-B616-F973CA294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feclink.fecomercio.net.br/cl/PPso-/A/de86/0/BMNv/BVILUzVyH4V/1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feclink.fecomercio.net.br/cl/PPso-/A/de86/0/BMNv/LoGOSwLzKJb/1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feclink.fecomercio.net.br/cl/PPso-/A/de86/0/BMNv/JCq7IqB0HNN/1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feclink.fecomercio.net.br/cl/PPso-/A/de86/0/BMNv/K3xEHnX7YM0/1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1257</Words>
  <Characters>6788</Characters>
  <Application>Microsoft Office Word</Application>
  <DocSecurity>0</DocSecurity>
  <Lines>56</Lines>
  <Paragraphs>16</Paragraphs>
  <ScaleCrop>false</ScaleCrop>
  <Company/>
  <LinksUpToDate>false</LinksUpToDate>
  <CharactersWithSpaces>8029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Vinícius Mendes</cp:lastModifiedBy>
  <cp:revision>2</cp:revision>
  <dcterms:created xsi:type="dcterms:W3CDTF">2024-08-30T17:47:00Z</dcterms:created>
  <dcterms:modified xsi:type="dcterms:W3CDTF">2024-08-30T17:55:00Z</dcterms:modified>
</cp:coreProperties>
</file>